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31B75" w14:textId="77777777" w:rsidR="0051785F" w:rsidRDefault="0051785F" w:rsidP="0051785F">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722113F8" w14:textId="77777777" w:rsidR="0051785F" w:rsidRDefault="0051785F" w:rsidP="0051785F">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1284039C" wp14:editId="6D8B2779">
                <wp:simplePos x="0" y="0"/>
                <wp:positionH relativeFrom="margin">
                  <wp:posOffset>0</wp:posOffset>
                </wp:positionH>
                <wp:positionV relativeFrom="paragraph">
                  <wp:posOffset>226060</wp:posOffset>
                </wp:positionV>
                <wp:extent cx="5257800" cy="1404620"/>
                <wp:effectExtent l="0" t="0" r="19050"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0DB2DA08" w14:textId="77777777" w:rsidR="0051785F" w:rsidRDefault="0051785F" w:rsidP="0051785F">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1284039C"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">
                <v:textbox style="mso-fit-shape-to-text:t">
                  <w:txbxContent>
                    <w:p w14:paraId="0DB2DA08" w14:textId="77777777" w:rsidR="0051785F" w:rsidRDefault="0051785F" w:rsidP="0051785F">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7A080155" w14:textId="77777777" w:rsidR="0051785F" w:rsidRDefault="0051785F" w:rsidP="0051785F">
      <w:pPr>
        <w:snapToGrid w:val="0"/>
        <w:jc w:val="center"/>
        <w:rPr>
          <w:rFonts w:ascii="Times New Roman Regular" w:hAnsi="Times New Roman Regular" w:cs="Times New Roman Regular" w:hint="eastAsia"/>
          <w:sz w:val="24"/>
        </w:rPr>
      </w:pPr>
    </w:p>
    <w:p w14:paraId="20281DFB" w14:textId="77777777" w:rsidR="0051785F" w:rsidRDefault="0051785F" w:rsidP="0051785F">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3E12E2A7" w14:textId="77777777" w:rsidR="0051785F" w:rsidRDefault="0051785F" w:rsidP="0051785F">
      <w:pPr>
        <w:rPr>
          <w:rFonts w:ascii="Times New Roman Regular" w:hAnsi="Times New Roman Regular" w:cs="Times New Roman Regular" w:hint="eastAsia"/>
          <w:b/>
          <w:sz w:val="24"/>
        </w:rPr>
      </w:pPr>
    </w:p>
    <w:p w14:paraId="758DEA8B" w14:textId="77777777" w:rsidR="0051785F" w:rsidRDefault="0051785F" w:rsidP="0051785F">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51785F" w14:paraId="6052D4D2" w14:textId="77777777" w:rsidTr="006909D8">
        <w:tc>
          <w:tcPr>
            <w:tcW w:w="2689" w:type="dxa"/>
            <w:shd w:val="clear" w:color="auto" w:fill="auto"/>
          </w:tcPr>
          <w:p w14:paraId="606BDA71"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Programme Title: </w:t>
            </w:r>
          </w:p>
        </w:tc>
        <w:tc>
          <w:tcPr>
            <w:tcW w:w="5607" w:type="dxa"/>
            <w:shd w:val="clear" w:color="auto" w:fill="auto"/>
          </w:tcPr>
          <w:p w14:paraId="24A81C4F"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51785F" w14:paraId="5E211569" w14:textId="77777777" w:rsidTr="006909D8">
        <w:tc>
          <w:tcPr>
            <w:tcW w:w="2689" w:type="dxa"/>
            <w:shd w:val="clear" w:color="auto" w:fill="auto"/>
          </w:tcPr>
          <w:p w14:paraId="64BB5920"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0256FC7E"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51785F" w14:paraId="70E5DA1B" w14:textId="77777777" w:rsidTr="006909D8">
        <w:tc>
          <w:tcPr>
            <w:tcW w:w="2689" w:type="dxa"/>
            <w:shd w:val="clear" w:color="auto" w:fill="auto"/>
          </w:tcPr>
          <w:p w14:paraId="363F3A5C"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32AEA467" w14:textId="77777777" w:rsidR="0051785F" w:rsidRDefault="0051785F" w:rsidP="006909D8">
            <w:pPr>
              <w:jc w:val="left"/>
              <w:outlineLvl w:val="0"/>
              <w:rPr>
                <w:rFonts w:ascii="Times New Roman Regular" w:hAnsi="Times New Roman Regular" w:cs="Times New Roman Regular" w:hint="eastAsia"/>
                <w:b/>
                <w:sz w:val="24"/>
              </w:rPr>
            </w:pPr>
            <w:bookmarkStart w:id="0" w:name="_Toc1005884496"/>
            <w:r w:rsidRPr="0051785F">
              <w:rPr>
                <w:rStyle w:val="Heading1Char"/>
                <w:rFonts w:ascii="Times New Roman Regular" w:hAnsi="Times New Roman Regular" w:cs="Times New Roman Regular"/>
                <w:b/>
                <w:bCs/>
                <w:color w:val="auto"/>
                <w:sz w:val="24"/>
              </w:rPr>
              <w:t>Education</w:t>
            </w:r>
            <w:r w:rsidRPr="0051785F">
              <w:rPr>
                <w:rStyle w:val="Heading1Char"/>
                <w:rFonts w:ascii="Times New Roman Regular" w:hAnsi="Times New Roman Regular" w:cs="Times New Roman Regular" w:hint="eastAsia"/>
                <w:b/>
                <w:bCs/>
                <w:color w:val="auto"/>
                <w:sz w:val="24"/>
                <w:lang w:eastAsia="zh-Hans"/>
              </w:rPr>
              <w:t>al</w:t>
            </w:r>
            <w:r w:rsidRPr="0051785F">
              <w:rPr>
                <w:rStyle w:val="Heading1Char"/>
                <w:rFonts w:ascii="Times New Roman Regular" w:hAnsi="Times New Roman Regular" w:cs="Times New Roman Regular"/>
                <w:b/>
                <w:bCs/>
                <w:color w:val="auto"/>
                <w:sz w:val="24"/>
                <w:lang w:eastAsia="zh-Hans"/>
              </w:rPr>
              <w:t xml:space="preserve"> governance</w:t>
            </w:r>
            <w:r w:rsidRPr="0051785F">
              <w:rPr>
                <w:rStyle w:val="Heading1Char"/>
                <w:rFonts w:ascii="Times New Roman Regular" w:hAnsi="Times New Roman Regular" w:cs="Times New Roman Regular"/>
                <w:b/>
                <w:bCs/>
                <w:color w:val="auto"/>
                <w:sz w:val="24"/>
              </w:rPr>
              <w:t xml:space="preserve"> and policy analysis</w:t>
            </w:r>
            <w:bookmarkEnd w:id="0"/>
          </w:p>
        </w:tc>
      </w:tr>
      <w:tr w:rsidR="0051785F" w14:paraId="0A66F560" w14:textId="77777777" w:rsidTr="006909D8">
        <w:tc>
          <w:tcPr>
            <w:tcW w:w="2689" w:type="dxa"/>
            <w:shd w:val="clear" w:color="auto" w:fill="auto"/>
          </w:tcPr>
          <w:p w14:paraId="3CED4415"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7559A049" w14:textId="48A93696"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EDA6163</w:t>
            </w:r>
          </w:p>
        </w:tc>
      </w:tr>
      <w:tr w:rsidR="0051785F" w14:paraId="2C7A90FD" w14:textId="77777777" w:rsidTr="006909D8">
        <w:tc>
          <w:tcPr>
            <w:tcW w:w="2689" w:type="dxa"/>
            <w:shd w:val="clear" w:color="auto" w:fill="auto"/>
          </w:tcPr>
          <w:p w14:paraId="2AE02A3C"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74C108C6"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51785F" w14:paraId="0C13F1A4" w14:textId="77777777" w:rsidTr="006909D8">
        <w:tc>
          <w:tcPr>
            <w:tcW w:w="2689" w:type="dxa"/>
            <w:shd w:val="clear" w:color="auto" w:fill="auto"/>
          </w:tcPr>
          <w:p w14:paraId="7518F387"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59437608"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51785F" w14:paraId="40CFDC0F" w14:textId="77777777" w:rsidTr="006909D8">
        <w:tc>
          <w:tcPr>
            <w:tcW w:w="2689" w:type="dxa"/>
            <w:shd w:val="clear" w:color="auto" w:fill="auto"/>
          </w:tcPr>
          <w:p w14:paraId="7429E728"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0695EDC9"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51785F" w14:paraId="707C834F" w14:textId="77777777" w:rsidTr="006909D8">
        <w:tc>
          <w:tcPr>
            <w:tcW w:w="2689" w:type="dxa"/>
            <w:shd w:val="clear" w:color="auto" w:fill="auto"/>
          </w:tcPr>
          <w:p w14:paraId="013A1374"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2C09011D"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51785F" w14:paraId="10FD65EE" w14:textId="77777777" w:rsidTr="006909D8">
        <w:tc>
          <w:tcPr>
            <w:tcW w:w="2689" w:type="dxa"/>
            <w:shd w:val="clear" w:color="auto" w:fill="auto"/>
          </w:tcPr>
          <w:p w14:paraId="73C667DE"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1D8BA31E"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51785F" w14:paraId="67DCE125" w14:textId="77777777" w:rsidTr="006909D8">
        <w:tc>
          <w:tcPr>
            <w:tcW w:w="2689" w:type="dxa"/>
            <w:shd w:val="clear" w:color="auto" w:fill="auto"/>
          </w:tcPr>
          <w:p w14:paraId="643C1F7E"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71912247" w14:textId="77777777" w:rsidR="0051785F" w:rsidRDefault="0051785F"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bl>
    <w:p w14:paraId="1FB64340" w14:textId="77777777" w:rsidR="0051785F" w:rsidRDefault="0051785F" w:rsidP="0051785F">
      <w:pPr>
        <w:rPr>
          <w:rFonts w:ascii="Times New Roman Regular" w:hAnsi="Times New Roman Regular" w:cs="Times New Roman Regular" w:hint="eastAsia"/>
          <w:b/>
          <w:sz w:val="24"/>
        </w:rPr>
      </w:pPr>
    </w:p>
    <w:p w14:paraId="2E3EBCED" w14:textId="77777777" w:rsidR="0051785F" w:rsidRDefault="0051785F" w:rsidP="0051785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37E29F4C" w14:textId="77777777" w:rsidR="0051785F" w:rsidRDefault="0051785F" w:rsidP="0051785F">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0C06003A" w14:textId="77777777" w:rsidR="0051785F" w:rsidRDefault="0051785F" w:rsidP="0051785F">
      <w:pPr>
        <w:snapToGrid w:val="0"/>
        <w:rPr>
          <w:rFonts w:ascii="Times New Roman Regular" w:hAnsi="Times New Roman Regular" w:cs="Times New Roman Regular" w:hint="eastAsia"/>
          <w:b/>
          <w:sz w:val="24"/>
        </w:rPr>
      </w:pPr>
    </w:p>
    <w:p w14:paraId="5D436DD6" w14:textId="77777777" w:rsidR="0051785F" w:rsidRDefault="0051785F" w:rsidP="0051785F">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7ED9907E" w14:textId="77777777" w:rsidR="0051785F" w:rsidRDefault="0051785F" w:rsidP="0051785F">
      <w:pPr>
        <w:snapToGrid w:val="0"/>
        <w:rPr>
          <w:rFonts w:ascii="Times New Roman Regular" w:hAnsi="Times New Roman Regular" w:cs="Times New Roman Regular" w:hint="eastAsia"/>
          <w:sz w:val="24"/>
        </w:rPr>
      </w:pPr>
    </w:p>
    <w:p w14:paraId="7B89253C" w14:textId="77777777" w:rsidR="0051785F" w:rsidRDefault="0051785F" w:rsidP="0051785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57666B8D" w14:textId="77777777" w:rsidR="0051785F" w:rsidRDefault="0051785F" w:rsidP="0051785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0F38EAB3" w14:textId="77777777" w:rsidR="0051785F" w:rsidRDefault="0051785F" w:rsidP="0051785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15908CC7" w14:textId="77777777" w:rsidR="0051785F" w:rsidRDefault="0051785F" w:rsidP="0051785F">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65756729" w14:textId="77777777" w:rsidR="0051785F" w:rsidRDefault="0051785F" w:rsidP="0051785F">
      <w:pPr>
        <w:snapToGrid w:val="0"/>
        <w:rPr>
          <w:rFonts w:ascii="Times New Roman Regular" w:hAnsi="Times New Roman Regular" w:cs="Times New Roman Regular" w:hint="eastAsia"/>
          <w:sz w:val="24"/>
        </w:rPr>
      </w:pPr>
    </w:p>
    <w:p w14:paraId="64038AED" w14:textId="77777777" w:rsidR="0051785F" w:rsidRDefault="0051785F" w:rsidP="0051785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76F589AD" w14:textId="77777777" w:rsidR="0051785F" w:rsidRDefault="0051785F" w:rsidP="0051785F">
      <w:pPr>
        <w:snapToGrid w:val="0"/>
        <w:rPr>
          <w:rFonts w:ascii="Times New Roman Regular" w:hAnsi="Times New Roman Regular" w:cs="Times New Roman Regular" w:hint="eastAsia"/>
          <w:sz w:val="24"/>
        </w:rPr>
      </w:pPr>
    </w:p>
    <w:p w14:paraId="44AF9B0C" w14:textId="77777777" w:rsidR="0051785F" w:rsidRDefault="0051785F" w:rsidP="0051785F">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51785F" w14:paraId="547CF5A5" w14:textId="77777777" w:rsidTr="006909D8">
        <w:trPr>
          <w:trHeight w:val="360"/>
        </w:trPr>
        <w:tc>
          <w:tcPr>
            <w:tcW w:w="4753" w:type="dxa"/>
            <w:tcMar>
              <w:top w:w="0" w:type="dxa"/>
              <w:left w:w="108" w:type="dxa"/>
              <w:bottom w:w="0" w:type="dxa"/>
              <w:right w:w="108" w:type="dxa"/>
            </w:tcMar>
          </w:tcPr>
          <w:p w14:paraId="1FDBF61A"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51785F" w14:paraId="71A5A007" w14:textId="77777777" w:rsidTr="006909D8">
        <w:trPr>
          <w:trHeight w:val="360"/>
        </w:trPr>
        <w:tc>
          <w:tcPr>
            <w:tcW w:w="4753" w:type="dxa"/>
            <w:tcMar>
              <w:top w:w="0" w:type="dxa"/>
              <w:left w:w="108" w:type="dxa"/>
              <w:bottom w:w="0" w:type="dxa"/>
              <w:right w:w="108" w:type="dxa"/>
            </w:tcMar>
          </w:tcPr>
          <w:p w14:paraId="58E8AF9B"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51785F" w14:paraId="64848C2B" w14:textId="77777777" w:rsidTr="006909D8">
        <w:trPr>
          <w:trHeight w:val="360"/>
        </w:trPr>
        <w:tc>
          <w:tcPr>
            <w:tcW w:w="4753" w:type="dxa"/>
            <w:tcMar>
              <w:top w:w="0" w:type="dxa"/>
              <w:left w:w="108" w:type="dxa"/>
              <w:bottom w:w="0" w:type="dxa"/>
              <w:right w:w="108" w:type="dxa"/>
            </w:tcMar>
          </w:tcPr>
          <w:p w14:paraId="79F91AC2"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51785F" w14:paraId="0F2B6C6E" w14:textId="77777777" w:rsidTr="006909D8">
        <w:trPr>
          <w:trHeight w:val="360"/>
        </w:trPr>
        <w:tc>
          <w:tcPr>
            <w:tcW w:w="4753" w:type="dxa"/>
            <w:tcMar>
              <w:top w:w="0" w:type="dxa"/>
              <w:left w:w="108" w:type="dxa"/>
              <w:bottom w:w="0" w:type="dxa"/>
              <w:right w:w="108" w:type="dxa"/>
            </w:tcMar>
          </w:tcPr>
          <w:p w14:paraId="4C024C06"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51785F" w14:paraId="58C713DB" w14:textId="77777777" w:rsidTr="006909D8">
        <w:trPr>
          <w:trHeight w:val="360"/>
        </w:trPr>
        <w:tc>
          <w:tcPr>
            <w:tcW w:w="4753" w:type="dxa"/>
            <w:tcMar>
              <w:top w:w="0" w:type="dxa"/>
              <w:left w:w="108" w:type="dxa"/>
              <w:bottom w:w="0" w:type="dxa"/>
              <w:right w:w="108" w:type="dxa"/>
            </w:tcMar>
          </w:tcPr>
          <w:p w14:paraId="0FEB812B"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51785F" w14:paraId="1B78AF98" w14:textId="77777777" w:rsidTr="006909D8">
        <w:trPr>
          <w:trHeight w:val="360"/>
        </w:trPr>
        <w:tc>
          <w:tcPr>
            <w:tcW w:w="4753" w:type="dxa"/>
            <w:tcMar>
              <w:top w:w="0" w:type="dxa"/>
              <w:left w:w="108" w:type="dxa"/>
              <w:bottom w:w="0" w:type="dxa"/>
              <w:right w:w="108" w:type="dxa"/>
            </w:tcMar>
          </w:tcPr>
          <w:p w14:paraId="68518C1A"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51785F" w14:paraId="772C768F" w14:textId="77777777" w:rsidTr="006909D8">
        <w:trPr>
          <w:trHeight w:val="360"/>
        </w:trPr>
        <w:tc>
          <w:tcPr>
            <w:tcW w:w="4753" w:type="dxa"/>
            <w:tcMar>
              <w:top w:w="0" w:type="dxa"/>
              <w:left w:w="108" w:type="dxa"/>
              <w:bottom w:w="0" w:type="dxa"/>
              <w:right w:w="108" w:type="dxa"/>
            </w:tcMar>
          </w:tcPr>
          <w:p w14:paraId="7FF50E24"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6. </w:t>
            </w:r>
            <w:r>
              <w:rPr>
                <w:rFonts w:ascii="Times New Roman Regular" w:hAnsi="Times New Roman Regular" w:cs="Times New Roman Regular"/>
                <w:kern w:val="0"/>
                <w:sz w:val="24"/>
              </w:rPr>
              <w:tab/>
              <w:t>Ethical Decision Making</w:t>
            </w:r>
          </w:p>
        </w:tc>
      </w:tr>
      <w:tr w:rsidR="0051785F" w14:paraId="7E29715D" w14:textId="77777777" w:rsidTr="006909D8">
        <w:trPr>
          <w:trHeight w:val="360"/>
        </w:trPr>
        <w:tc>
          <w:tcPr>
            <w:tcW w:w="4753" w:type="dxa"/>
            <w:tcMar>
              <w:top w:w="0" w:type="dxa"/>
              <w:left w:w="108" w:type="dxa"/>
              <w:bottom w:w="0" w:type="dxa"/>
              <w:right w:w="108" w:type="dxa"/>
            </w:tcMar>
          </w:tcPr>
          <w:p w14:paraId="7FCD32F9" w14:textId="77777777" w:rsidR="0051785F" w:rsidRDefault="0051785F"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16EF072E" w14:textId="77777777" w:rsidR="0051785F" w:rsidRDefault="0051785F" w:rsidP="0051785F">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6AF33611"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0F6E1986" w14:textId="77777777" w:rsidR="0051785F" w:rsidRDefault="0051785F" w:rsidP="0051785F">
      <w:pPr>
        <w:widowControl/>
        <w:ind w:leftChars="150" w:left="315"/>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Understanding policy and governance is essential for those who aspire to lead and make positive changes within and beyond educational institutions. In this course, students will explore the fundamentals of policy analysis, examine common data sources that inform education policy-making, and learn rigorous approaches for policy evaluation. The course also addresses policy issues across different levels of education governance, as well as how these issues are situated in and interact with local, regional, and global contexts. Students will </w:t>
      </w:r>
      <w:proofErr w:type="spellStart"/>
      <w:r>
        <w:rPr>
          <w:rFonts w:ascii="Times New Roman Regular" w:hAnsi="Times New Roman Regular" w:cs="Times New Roman Regular"/>
          <w:bCs/>
          <w:sz w:val="24"/>
        </w:rPr>
        <w:t>analyse</w:t>
      </w:r>
      <w:proofErr w:type="spellEnd"/>
      <w:r>
        <w:rPr>
          <w:rFonts w:ascii="Times New Roman Regular" w:hAnsi="Times New Roman Regular" w:cs="Times New Roman Regular"/>
          <w:bCs/>
          <w:sz w:val="24"/>
        </w:rPr>
        <w:t xml:space="preserve"> the dynamics of power, equity, and accountability in education governance while critically evaluating policies through case studies from diverse settings. By bridging theory and practice, this course equips students with the tools and knowledge needed to understand and address contemporary challenges in education policy and governance.</w:t>
      </w:r>
    </w:p>
    <w:p w14:paraId="0DD5DA29" w14:textId="77777777" w:rsidR="0051785F" w:rsidRDefault="0051785F" w:rsidP="0051785F">
      <w:pPr>
        <w:ind w:left="360"/>
        <w:rPr>
          <w:rFonts w:ascii="Times New Roman Regular" w:hAnsi="Times New Roman Regular" w:cs="Times New Roman Regular" w:hint="eastAsia"/>
          <w:b/>
          <w:sz w:val="24"/>
        </w:rPr>
      </w:pPr>
    </w:p>
    <w:p w14:paraId="601F1E60" w14:textId="77777777" w:rsidR="0051785F" w:rsidRDefault="0051785F" w:rsidP="0051785F">
      <w:pPr>
        <w:widowControl/>
        <w:numPr>
          <w:ilvl w:val="0"/>
          <w:numId w:val="4"/>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24DD2DA8" w14:textId="77777777" w:rsidR="0051785F" w:rsidRDefault="0051785F" w:rsidP="0051785F">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542D4545" w14:textId="77777777" w:rsidR="0051785F" w:rsidRDefault="0051785F" w:rsidP="0051785F">
      <w:pPr>
        <w:ind w:leftChars="300" w:left="183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Demonstrate a critical understanding of key concepts, theories, and governance structures that shape education policy within local, regional, and global contexts.</w:t>
      </w:r>
    </w:p>
    <w:p w14:paraId="67C74D98" w14:textId="77777777" w:rsidR="0051785F" w:rsidRDefault="0051785F" w:rsidP="0051785F">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Effectively </w:t>
      </w:r>
      <w:proofErr w:type="spellStart"/>
      <w:r>
        <w:rPr>
          <w:rFonts w:ascii="Times New Roman Regular" w:hAnsi="Times New Roman Regular" w:cs="Times New Roman Regular"/>
          <w:sz w:val="24"/>
        </w:rPr>
        <w:t>analyse</w:t>
      </w:r>
      <w:proofErr w:type="spellEnd"/>
      <w:r>
        <w:rPr>
          <w:rFonts w:ascii="Times New Roman Regular" w:hAnsi="Times New Roman Regular" w:cs="Times New Roman Regular"/>
          <w:sz w:val="24"/>
        </w:rPr>
        <w:t xml:space="preserve"> education policy by interpreting relevant data sources, applying policy evaluation approaches, and considering contextual factors.</w:t>
      </w:r>
    </w:p>
    <w:p w14:paraId="63F89EC7" w14:textId="77777777" w:rsidR="0051785F" w:rsidRDefault="0051785F" w:rsidP="0051785F">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sz w:val="24"/>
          <w:vertAlign w:val="subscript"/>
        </w:rPr>
        <w:tab/>
      </w:r>
      <w:r>
        <w:rPr>
          <w:rFonts w:ascii="Times New Roman Regular" w:hAnsi="Times New Roman Regular" w:cs="Times New Roman Regular"/>
          <w:sz w:val="24"/>
        </w:rPr>
        <w:t>Critically examine how power dynamics, equity issues, and accountability mechanisms influence education policy processes and outcomes across different governance levels.</w:t>
      </w:r>
    </w:p>
    <w:p w14:paraId="53F01AF9" w14:textId="77777777" w:rsidR="0051785F" w:rsidRDefault="0051785F" w:rsidP="0051785F">
      <w:pPr>
        <w:snapToGrid w:val="0"/>
        <w:rPr>
          <w:rFonts w:ascii="Times New Roman Regular" w:hAnsi="Times New Roman Regular" w:cs="Times New Roman Regular" w:hint="eastAsia"/>
          <w:sz w:val="24"/>
        </w:rPr>
      </w:pPr>
    </w:p>
    <w:p w14:paraId="3D47A4C3" w14:textId="77777777" w:rsidR="0051785F" w:rsidRDefault="0051785F" w:rsidP="0051785F">
      <w:pPr>
        <w:widowControl/>
        <w:numPr>
          <w:ilvl w:val="0"/>
          <w:numId w:val="4"/>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9"/>
        <w:gridCol w:w="1096"/>
        <w:gridCol w:w="2914"/>
      </w:tblGrid>
      <w:tr w:rsidR="0051785F" w14:paraId="342C98F2" w14:textId="77777777" w:rsidTr="006909D8">
        <w:tc>
          <w:tcPr>
            <w:tcW w:w="0" w:type="auto"/>
            <w:shd w:val="pct10" w:color="auto" w:fill="auto"/>
          </w:tcPr>
          <w:p w14:paraId="0088B2AC" w14:textId="77777777" w:rsidR="0051785F" w:rsidRDefault="0051785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1035" w:type="dxa"/>
            <w:shd w:val="pct10" w:color="auto" w:fill="auto"/>
          </w:tcPr>
          <w:p w14:paraId="173B1E32" w14:textId="77777777" w:rsidR="0051785F" w:rsidRDefault="0051785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2914" w:type="dxa"/>
            <w:shd w:val="pct10" w:color="auto" w:fill="auto"/>
          </w:tcPr>
          <w:p w14:paraId="52020FFF" w14:textId="77777777" w:rsidR="0051785F" w:rsidRDefault="0051785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51785F" w14:paraId="672C9A6A" w14:textId="77777777" w:rsidTr="006909D8">
        <w:tc>
          <w:tcPr>
            <w:tcW w:w="0" w:type="auto"/>
          </w:tcPr>
          <w:p w14:paraId="2DF43BE7" w14:textId="77777777" w:rsidR="0051785F" w:rsidRDefault="0051785F" w:rsidP="006909D8">
            <w:pPr>
              <w:rPr>
                <w:rFonts w:ascii="Times New Roman Regular" w:hAnsi="Times New Roman Regular" w:cs="Times New Roman Regular" w:hint="eastAsia"/>
                <w:i/>
                <w:sz w:val="24"/>
              </w:rPr>
            </w:pPr>
            <w:r>
              <w:rPr>
                <w:rFonts w:ascii="Times New Roman Regular" w:eastAsia="SimSun" w:hAnsi="Times New Roman Regular" w:cs="Times New Roman Regular"/>
                <w:iCs/>
                <w:sz w:val="24"/>
              </w:rPr>
              <w:t>Major</w:t>
            </w:r>
            <w:r>
              <w:rPr>
                <w:rFonts w:ascii="Times New Roman Regular" w:hAnsi="Times New Roman Regular" w:cs="Times New Roman Regular"/>
                <w:iCs/>
                <w:sz w:val="24"/>
              </w:rPr>
              <w:t xml:space="preserve"> concepts, theoretical frameworks, and models of education policy and governance, with </w:t>
            </w:r>
            <w:r>
              <w:rPr>
                <w:rFonts w:ascii="Times New Roman Regular" w:eastAsia="SimSun" w:hAnsi="Times New Roman Regular" w:cs="Times New Roman Regular"/>
                <w:iCs/>
                <w:sz w:val="24"/>
              </w:rPr>
              <w:t>a focus</w:t>
            </w:r>
            <w:r>
              <w:rPr>
                <w:rFonts w:ascii="Times New Roman Regular" w:hAnsi="Times New Roman Regular" w:cs="Times New Roman Regular"/>
                <w:iCs/>
                <w:sz w:val="24"/>
              </w:rPr>
              <w:t xml:space="preserve"> </w:t>
            </w:r>
            <w:r>
              <w:rPr>
                <w:rFonts w:ascii="Times New Roman Regular" w:eastAsia="SimSun" w:hAnsi="Times New Roman Regular" w:cs="Times New Roman Regular"/>
                <w:iCs/>
                <w:sz w:val="24"/>
              </w:rPr>
              <w:t>on</w:t>
            </w:r>
            <w:r>
              <w:rPr>
                <w:rFonts w:ascii="Times New Roman Regular" w:hAnsi="Times New Roman Regular" w:cs="Times New Roman Regular"/>
                <w:iCs/>
                <w:sz w:val="24"/>
              </w:rPr>
              <w:t xml:space="preserve"> how policies evolve across diverse education systems and how local, regional, and global forces interact.</w:t>
            </w:r>
          </w:p>
        </w:tc>
        <w:tc>
          <w:tcPr>
            <w:tcW w:w="1035" w:type="dxa"/>
          </w:tcPr>
          <w:p w14:paraId="0DAAEB68" w14:textId="77777777" w:rsidR="0051785F" w:rsidRDefault="0051785F"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iCs/>
                <w:sz w:val="24"/>
              </w:rPr>
              <w:t>CILO</w:t>
            </w:r>
            <w:r>
              <w:rPr>
                <w:rFonts w:ascii="Times New Roman Regular" w:hAnsi="Times New Roman Regular" w:cs="Times New Roman Regular"/>
                <w:iCs/>
                <w:sz w:val="24"/>
                <w:vertAlign w:val="subscript"/>
              </w:rPr>
              <w:t>1,3</w:t>
            </w:r>
          </w:p>
        </w:tc>
        <w:tc>
          <w:tcPr>
            <w:tcW w:w="2914" w:type="dxa"/>
            <w:vMerge w:val="restart"/>
          </w:tcPr>
          <w:p w14:paraId="7115AA21" w14:textId="77777777" w:rsidR="0051785F" w:rsidRDefault="0051785F" w:rsidP="006909D8">
            <w:pPr>
              <w:rPr>
                <w:rFonts w:ascii="Times New Roman Regular" w:hAnsi="Times New Roman Regular" w:cs="Times New Roman Regular" w:hint="eastAsia"/>
                <w:sz w:val="24"/>
              </w:rPr>
            </w:pPr>
            <w:r>
              <w:rPr>
                <w:rFonts w:ascii="Times New Roman Regular" w:eastAsia="SimSun" w:hAnsi="Times New Roman Regular" w:cs="Times New Roman Regular"/>
                <w:sz w:val="24"/>
              </w:rPr>
              <w:t>Lecturer presentations and group discussions; critical analysis of case studies selected by both the lecturer and students; student presentations guided by suggested readings</w:t>
            </w:r>
          </w:p>
        </w:tc>
      </w:tr>
      <w:tr w:rsidR="0051785F" w14:paraId="2A1E0AF9" w14:textId="77777777" w:rsidTr="006909D8">
        <w:tc>
          <w:tcPr>
            <w:tcW w:w="0" w:type="auto"/>
          </w:tcPr>
          <w:p w14:paraId="352CBA09" w14:textId="77777777" w:rsidR="0051785F" w:rsidRDefault="0051785F" w:rsidP="006909D8">
            <w:pPr>
              <w:rPr>
                <w:rFonts w:ascii="Times New Roman Regular" w:hAnsi="Times New Roman Regular" w:cs="Times New Roman Regular" w:hint="eastAsia"/>
                <w:i/>
                <w:sz w:val="24"/>
              </w:rPr>
            </w:pPr>
            <w:r>
              <w:rPr>
                <w:rFonts w:ascii="Times New Roman Regular" w:hAnsi="Times New Roman Regular" w:cs="Times New Roman Regular"/>
                <w:sz w:val="24"/>
              </w:rPr>
              <w:t>Sources of evidence that inform education policy</w:t>
            </w:r>
            <w:r>
              <w:rPr>
                <w:rFonts w:ascii="Times New Roman Regular" w:eastAsia="SimSun" w:hAnsi="Times New Roman Regular" w:cs="Times New Roman Regular"/>
                <w:sz w:val="24"/>
              </w:rPr>
              <w:t>-</w:t>
            </w:r>
            <w:r>
              <w:rPr>
                <w:rFonts w:ascii="Times New Roman Regular" w:hAnsi="Times New Roman Regular" w:cs="Times New Roman Regular"/>
                <w:sz w:val="24"/>
              </w:rPr>
              <w:t>making, with an emphasis on approaches to interpreting, critiquing, and applying such evidence in policy analysis and evaluation.</w:t>
            </w:r>
          </w:p>
        </w:tc>
        <w:tc>
          <w:tcPr>
            <w:tcW w:w="1035" w:type="dxa"/>
          </w:tcPr>
          <w:p w14:paraId="0FE9C9D5" w14:textId="77777777" w:rsidR="0051785F" w:rsidRDefault="0051785F"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iCs/>
                <w:sz w:val="24"/>
              </w:rPr>
              <w:t>CILO</w:t>
            </w:r>
            <w:r>
              <w:rPr>
                <w:rFonts w:ascii="Times New Roman Regular" w:hAnsi="Times New Roman Regular" w:cs="Times New Roman Regular"/>
                <w:iCs/>
                <w:sz w:val="24"/>
                <w:vertAlign w:val="subscript"/>
              </w:rPr>
              <w:t>1</w:t>
            </w:r>
            <w:r>
              <w:rPr>
                <w:rFonts w:ascii="Times New Roman Regular" w:hAnsi="Times New Roman Regular" w:cs="Times New Roman Regular" w:hint="eastAsia"/>
                <w:iCs/>
                <w:sz w:val="24"/>
                <w:vertAlign w:val="subscript"/>
              </w:rPr>
              <w:t>,</w:t>
            </w:r>
            <w:r>
              <w:rPr>
                <w:rFonts w:ascii="Times New Roman Regular" w:hAnsi="Times New Roman Regular" w:cs="Times New Roman Regular"/>
                <w:iCs/>
                <w:sz w:val="24"/>
                <w:vertAlign w:val="subscript"/>
              </w:rPr>
              <w:t>2</w:t>
            </w:r>
          </w:p>
        </w:tc>
        <w:tc>
          <w:tcPr>
            <w:tcW w:w="2914" w:type="dxa"/>
            <w:vMerge/>
          </w:tcPr>
          <w:p w14:paraId="16F0ACB3" w14:textId="77777777" w:rsidR="0051785F" w:rsidRDefault="0051785F" w:rsidP="006909D8">
            <w:pPr>
              <w:rPr>
                <w:rFonts w:ascii="Times New Roman Regular" w:hAnsi="Times New Roman Regular" w:cs="Times New Roman Regular" w:hint="eastAsia"/>
                <w:sz w:val="24"/>
              </w:rPr>
            </w:pPr>
          </w:p>
        </w:tc>
      </w:tr>
      <w:tr w:rsidR="0051785F" w14:paraId="2B7551B6" w14:textId="77777777" w:rsidTr="006909D8">
        <w:tc>
          <w:tcPr>
            <w:tcW w:w="0" w:type="auto"/>
            <w:tcBorders>
              <w:bottom w:val="single" w:sz="4" w:space="0" w:color="000000"/>
            </w:tcBorders>
          </w:tcPr>
          <w:p w14:paraId="5D97B1EB" w14:textId="77777777" w:rsidR="0051785F" w:rsidRDefault="0051785F" w:rsidP="006909D8">
            <w:pPr>
              <w:pStyle w:val="tablebullet"/>
              <w:jc w:val="left"/>
              <w:rPr>
                <w:rFonts w:ascii="Times New Roman Regular" w:hAnsi="Times New Roman Regular" w:cs="Times New Roman Regular" w:hint="eastAsia"/>
                <w:i/>
                <w:sz w:val="24"/>
                <w:szCs w:val="24"/>
              </w:rPr>
            </w:pPr>
            <w:r>
              <w:rPr>
                <w:rFonts w:ascii="Times New Roman Regular" w:hAnsi="Times New Roman Regular" w:cs="Times New Roman Regular"/>
                <w:sz w:val="24"/>
                <w:szCs w:val="24"/>
              </w:rPr>
              <w:t xml:space="preserve">Structures and processes of education governance at different levels, focusing on the roles and interactions of key factors such as governments, international </w:t>
            </w:r>
            <w:proofErr w:type="spellStart"/>
            <w:r>
              <w:rPr>
                <w:rFonts w:ascii="Times New Roman Regular" w:hAnsi="Times New Roman Regular" w:cs="Times New Roman Regular"/>
                <w:sz w:val="24"/>
                <w:szCs w:val="24"/>
              </w:rPr>
              <w:t>organi</w:t>
            </w:r>
            <w:r>
              <w:rPr>
                <w:rFonts w:ascii="Times New Roman Regular" w:eastAsia="SimSun" w:hAnsi="Times New Roman Regular" w:cs="Times New Roman Regular"/>
                <w:sz w:val="24"/>
                <w:szCs w:val="24"/>
                <w:lang w:eastAsia="zh-CN"/>
              </w:rPr>
              <w:t>s</w:t>
            </w:r>
            <w:r>
              <w:rPr>
                <w:rFonts w:ascii="Times New Roman Regular" w:hAnsi="Times New Roman Regular" w:cs="Times New Roman Regular"/>
                <w:sz w:val="24"/>
                <w:szCs w:val="24"/>
              </w:rPr>
              <w:t>ations</w:t>
            </w:r>
            <w:proofErr w:type="spellEnd"/>
            <w:r>
              <w:rPr>
                <w:rFonts w:ascii="Times New Roman Regular" w:hAnsi="Times New Roman Regular" w:cs="Times New Roman Regular"/>
                <w:sz w:val="24"/>
                <w:szCs w:val="24"/>
              </w:rPr>
              <w:t xml:space="preserve">, and communities, as well as challenges </w:t>
            </w:r>
            <w:r>
              <w:rPr>
                <w:rFonts w:ascii="Times New Roman Regular" w:hAnsi="Times New Roman Regular" w:cs="Times New Roman Regular"/>
                <w:sz w:val="24"/>
                <w:szCs w:val="24"/>
              </w:rPr>
              <w:lastRenderedPageBreak/>
              <w:t>arising from multi-level governance.</w:t>
            </w:r>
          </w:p>
        </w:tc>
        <w:tc>
          <w:tcPr>
            <w:tcW w:w="1035" w:type="dxa"/>
            <w:tcBorders>
              <w:bottom w:val="single" w:sz="4" w:space="0" w:color="000000"/>
            </w:tcBorders>
          </w:tcPr>
          <w:p w14:paraId="1F917ECE" w14:textId="77777777" w:rsidR="0051785F" w:rsidRDefault="0051785F"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iCs/>
                <w:sz w:val="24"/>
              </w:rPr>
              <w:lastRenderedPageBreak/>
              <w:t>CILO</w:t>
            </w:r>
            <w:r>
              <w:rPr>
                <w:rFonts w:ascii="Times New Roman Regular" w:hAnsi="Times New Roman Regular" w:cs="Times New Roman Regular"/>
                <w:iCs/>
                <w:sz w:val="24"/>
                <w:vertAlign w:val="subscript"/>
              </w:rPr>
              <w:t>1</w:t>
            </w:r>
            <w:r>
              <w:rPr>
                <w:rFonts w:ascii="Times New Roman Regular" w:hAnsi="Times New Roman Regular" w:cs="Times New Roman Regular" w:hint="eastAsia"/>
                <w:iCs/>
                <w:sz w:val="24"/>
                <w:vertAlign w:val="subscript"/>
              </w:rPr>
              <w:t>,</w:t>
            </w:r>
            <w:r>
              <w:rPr>
                <w:rFonts w:ascii="Times New Roman Regular" w:hAnsi="Times New Roman Regular" w:cs="Times New Roman Regular"/>
                <w:iCs/>
                <w:sz w:val="24"/>
                <w:vertAlign w:val="subscript"/>
              </w:rPr>
              <w:t>2,3</w:t>
            </w:r>
          </w:p>
        </w:tc>
        <w:tc>
          <w:tcPr>
            <w:tcW w:w="2914" w:type="dxa"/>
            <w:vMerge/>
          </w:tcPr>
          <w:p w14:paraId="2BBA7709" w14:textId="77777777" w:rsidR="0051785F" w:rsidRDefault="0051785F" w:rsidP="006909D8">
            <w:pPr>
              <w:rPr>
                <w:rFonts w:ascii="Times New Roman Regular" w:hAnsi="Times New Roman Regular" w:cs="Times New Roman Regular" w:hint="eastAsia"/>
                <w:sz w:val="24"/>
              </w:rPr>
            </w:pPr>
          </w:p>
        </w:tc>
      </w:tr>
      <w:tr w:rsidR="0051785F" w14:paraId="7BE19EB4" w14:textId="77777777" w:rsidTr="006909D8">
        <w:trPr>
          <w:trHeight w:val="295"/>
        </w:trPr>
        <w:tc>
          <w:tcPr>
            <w:tcW w:w="0" w:type="auto"/>
            <w:tcBorders>
              <w:bottom w:val="single" w:sz="4" w:space="0" w:color="auto"/>
            </w:tcBorders>
          </w:tcPr>
          <w:p w14:paraId="4ECC8ADC" w14:textId="77777777" w:rsidR="0051785F" w:rsidRDefault="0051785F" w:rsidP="006909D8">
            <w:pPr>
              <w:rPr>
                <w:rFonts w:ascii="Times New Roman Regular" w:hAnsi="Times New Roman Regular" w:cs="Times New Roman Regular" w:hint="eastAsia"/>
                <w:i/>
                <w:sz w:val="24"/>
              </w:rPr>
            </w:pPr>
            <w:r>
              <w:rPr>
                <w:rFonts w:ascii="Times New Roman Regular" w:hAnsi="Times New Roman Regular" w:cs="Times New Roman Regular"/>
                <w:iCs/>
                <w:sz w:val="24"/>
              </w:rPr>
              <w:t>Contemporary policy challenges related to power relations, equity, and accountability in education governance, including an exploration of how these factors affect policy design, implementation, and evaluation</w:t>
            </w:r>
            <w:r>
              <w:rPr>
                <w:rFonts w:ascii="Times New Roman Regular" w:eastAsia="SimSun" w:hAnsi="Times New Roman Regular" w:cs="Times New Roman Regular"/>
                <w:iCs/>
                <w:sz w:val="24"/>
              </w:rPr>
              <w:t xml:space="preserve"> </w:t>
            </w:r>
            <w:r>
              <w:rPr>
                <w:rFonts w:ascii="Times New Roman Regular" w:hAnsi="Times New Roman Regular" w:cs="Times New Roman Regular"/>
                <w:iCs/>
                <w:sz w:val="24"/>
              </w:rPr>
              <w:t>across diverse contexts</w:t>
            </w:r>
            <w:r>
              <w:rPr>
                <w:rFonts w:ascii="Times New Roman Regular" w:eastAsia="SimSun" w:hAnsi="Times New Roman Regular" w:cs="Times New Roman Regular"/>
                <w:iCs/>
                <w:sz w:val="24"/>
              </w:rPr>
              <w:t>.</w:t>
            </w:r>
          </w:p>
        </w:tc>
        <w:tc>
          <w:tcPr>
            <w:tcW w:w="1035" w:type="dxa"/>
            <w:tcBorders>
              <w:bottom w:val="single" w:sz="4" w:space="0" w:color="auto"/>
            </w:tcBorders>
          </w:tcPr>
          <w:p w14:paraId="17F7E84D" w14:textId="77777777" w:rsidR="0051785F" w:rsidRDefault="0051785F" w:rsidP="006909D8">
            <w:pPr>
              <w:snapToGrid w:val="0"/>
              <w:spacing w:line="276" w:lineRule="auto"/>
              <w:ind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iCs/>
                <w:sz w:val="24"/>
              </w:rPr>
              <w:t>CILO</w:t>
            </w:r>
            <w:r>
              <w:rPr>
                <w:rFonts w:ascii="Times New Roman Regular" w:hAnsi="Times New Roman Regular" w:cs="Times New Roman Regular"/>
                <w:iCs/>
                <w:sz w:val="24"/>
                <w:vertAlign w:val="subscript"/>
              </w:rPr>
              <w:t>1</w:t>
            </w:r>
            <w:r>
              <w:rPr>
                <w:rFonts w:ascii="Times New Roman Regular" w:hAnsi="Times New Roman Regular" w:cs="Times New Roman Regular" w:hint="eastAsia"/>
                <w:iCs/>
                <w:sz w:val="24"/>
                <w:vertAlign w:val="subscript"/>
              </w:rPr>
              <w:t>,</w:t>
            </w:r>
            <w:r>
              <w:rPr>
                <w:rFonts w:ascii="Times New Roman Regular" w:hAnsi="Times New Roman Regular" w:cs="Times New Roman Regular"/>
                <w:iCs/>
                <w:sz w:val="24"/>
                <w:vertAlign w:val="subscript"/>
              </w:rPr>
              <w:t>2,3</w:t>
            </w:r>
          </w:p>
        </w:tc>
        <w:tc>
          <w:tcPr>
            <w:tcW w:w="2914" w:type="dxa"/>
            <w:vMerge/>
            <w:tcBorders>
              <w:bottom w:val="single" w:sz="4" w:space="0" w:color="auto"/>
            </w:tcBorders>
          </w:tcPr>
          <w:p w14:paraId="1C97854D" w14:textId="77777777" w:rsidR="0051785F" w:rsidRDefault="0051785F" w:rsidP="006909D8">
            <w:pPr>
              <w:rPr>
                <w:rFonts w:ascii="Times New Roman Regular" w:hAnsi="Times New Roman Regular" w:cs="Times New Roman Regular" w:hint="eastAsia"/>
                <w:sz w:val="24"/>
              </w:rPr>
            </w:pPr>
          </w:p>
        </w:tc>
      </w:tr>
    </w:tbl>
    <w:p w14:paraId="19926763" w14:textId="77777777" w:rsidR="0051785F" w:rsidRDefault="0051785F" w:rsidP="0051785F">
      <w:pPr>
        <w:snapToGrid w:val="0"/>
        <w:jc w:val="center"/>
        <w:rPr>
          <w:rFonts w:ascii="Times New Roman Regular" w:hAnsi="Times New Roman Regular" w:cs="Times New Roman Regular" w:hint="eastAsia"/>
          <w:b/>
          <w:sz w:val="24"/>
        </w:rPr>
      </w:pPr>
    </w:p>
    <w:p w14:paraId="20950E85" w14:textId="77777777" w:rsidR="0051785F" w:rsidRDefault="0051785F" w:rsidP="0051785F">
      <w:pPr>
        <w:pStyle w:val="1"/>
        <w:ind w:left="0"/>
        <w:contextualSpacing w:val="0"/>
        <w:rPr>
          <w:rFonts w:ascii="Times New Roman Regular" w:hAnsi="Times New Roman Regular" w:cs="Times New Roman Regular" w:hint="eastAsia"/>
          <w:b/>
          <w:sz w:val="24"/>
        </w:rPr>
      </w:pPr>
    </w:p>
    <w:p w14:paraId="115AB7B8" w14:textId="77777777" w:rsidR="0051785F" w:rsidRDefault="0051785F" w:rsidP="0051785F">
      <w:pPr>
        <w:pStyle w:val="1"/>
        <w:numPr>
          <w:ilvl w:val="0"/>
          <w:numId w:val="4"/>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6046D88C" w14:textId="77777777" w:rsidR="0051785F" w:rsidRDefault="0051785F" w:rsidP="0051785F">
      <w:pPr>
        <w:pStyle w:val="1"/>
        <w:ind w:left="0"/>
        <w:contextualSpacing w:val="0"/>
        <w:rPr>
          <w:rFonts w:ascii="Times New Roman Regular" w:hAnsi="Times New Roman Regular" w:cs="Times New Roman Regular" w:hint="eastAsia"/>
          <w:b/>
          <w:sz w:val="24"/>
        </w:rPr>
      </w:pPr>
    </w:p>
    <w:tbl>
      <w:tblPr>
        <w:tblW w:w="8032"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4"/>
        <w:gridCol w:w="1331"/>
        <w:gridCol w:w="1137"/>
      </w:tblGrid>
      <w:tr w:rsidR="0051785F" w14:paraId="3BE4ED08" w14:textId="77777777" w:rsidTr="006909D8">
        <w:tc>
          <w:tcPr>
            <w:tcW w:w="0" w:type="auto"/>
            <w:shd w:val="pct10" w:color="auto" w:fill="auto"/>
          </w:tcPr>
          <w:p w14:paraId="18EE505F" w14:textId="77777777" w:rsidR="0051785F" w:rsidRDefault="0051785F"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0" w:type="auto"/>
            <w:shd w:val="pct10" w:color="auto" w:fill="auto"/>
          </w:tcPr>
          <w:p w14:paraId="098E1A5E" w14:textId="77777777" w:rsidR="0051785F" w:rsidRDefault="0051785F"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1137" w:type="dxa"/>
            <w:shd w:val="pct10" w:color="auto" w:fill="auto"/>
          </w:tcPr>
          <w:p w14:paraId="2B963110" w14:textId="77777777" w:rsidR="0051785F" w:rsidRDefault="0051785F"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51785F" w14:paraId="2DA30518" w14:textId="77777777" w:rsidTr="006909D8">
        <w:tc>
          <w:tcPr>
            <w:tcW w:w="0" w:type="auto"/>
          </w:tcPr>
          <w:p w14:paraId="58662AEA" w14:textId="77777777" w:rsidR="0051785F" w:rsidRDefault="0051785F" w:rsidP="006909D8">
            <w:pPr>
              <w:contextualSpacing/>
              <w:rPr>
                <w:rFonts w:ascii="Times New Roman Regular" w:hAnsi="Times New Roman Regular" w:cs="Times New Roman Regular" w:hint="eastAsia"/>
                <w:b/>
                <w:bCs/>
                <w:sz w:val="24"/>
                <w14:ligatures w14:val="standardContextual"/>
              </w:rPr>
            </w:pPr>
            <w:r>
              <w:rPr>
                <w:rFonts w:ascii="Times New Roman Regular" w:hAnsi="Times New Roman Regular" w:cs="Times New Roman Regular"/>
                <w:b/>
                <w:bCs/>
                <w:sz w:val="24"/>
                <w14:ligatures w14:val="standardContextual"/>
              </w:rPr>
              <w:t xml:space="preserve">(a) Group presentation: Critique of education policy research </w:t>
            </w:r>
          </w:p>
          <w:p w14:paraId="62893922" w14:textId="77777777" w:rsidR="0051785F" w:rsidRDefault="0051785F"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 xml:space="preserve">Students will form groups and select a published academic study that has </w:t>
            </w:r>
            <w:proofErr w:type="spellStart"/>
            <w:r>
              <w:rPr>
                <w:rFonts w:ascii="Times New Roman Regular" w:hAnsi="Times New Roman Regular" w:cs="Times New Roman Regular"/>
                <w:sz w:val="24"/>
                <w14:ligatures w14:val="standardContextual"/>
              </w:rPr>
              <w:t>analysed</w:t>
            </w:r>
            <w:proofErr w:type="spellEnd"/>
            <w:r>
              <w:rPr>
                <w:rFonts w:ascii="Times New Roman Regular" w:hAnsi="Times New Roman Regular" w:cs="Times New Roman Regular"/>
                <w:sz w:val="24"/>
                <w14:ligatures w14:val="standardContextual"/>
              </w:rPr>
              <w:t xml:space="preserve"> education policies within a specific governance context. In the 15-minute presentation, they will describe the study’s data analysis methods and evaluate the strengths and limitations of the methods employed to </w:t>
            </w:r>
            <w:proofErr w:type="spellStart"/>
            <w:r>
              <w:rPr>
                <w:rFonts w:ascii="Times New Roman Regular" w:hAnsi="Times New Roman Regular" w:cs="Times New Roman Regular"/>
                <w:sz w:val="24"/>
                <w14:ligatures w14:val="standardContextual"/>
              </w:rPr>
              <w:t>analyse</w:t>
            </w:r>
            <w:proofErr w:type="spellEnd"/>
            <w:r>
              <w:rPr>
                <w:rFonts w:ascii="Times New Roman Regular" w:hAnsi="Times New Roman Regular" w:cs="Times New Roman Regular"/>
                <w:sz w:val="24"/>
                <w14:ligatures w14:val="standardContextual"/>
              </w:rPr>
              <w:t xml:space="preserve"> policies</w:t>
            </w:r>
            <w:r>
              <w:rPr>
                <w:rFonts w:ascii="Times New Roman Regular" w:eastAsia="DengXian" w:hAnsi="Times New Roman Regular" w:cs="Times New Roman Regular"/>
                <w:sz w:val="24"/>
                <w14:ligatures w14:val="standardContextual"/>
              </w:rPr>
              <w:t>.</w:t>
            </w:r>
          </w:p>
        </w:tc>
        <w:tc>
          <w:tcPr>
            <w:tcW w:w="0" w:type="auto"/>
          </w:tcPr>
          <w:p w14:paraId="4561BD4B" w14:textId="77777777" w:rsidR="0051785F" w:rsidRDefault="0051785F"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30%</w:t>
            </w:r>
          </w:p>
        </w:tc>
        <w:tc>
          <w:tcPr>
            <w:tcW w:w="1137" w:type="dxa"/>
          </w:tcPr>
          <w:p w14:paraId="51A7CE52" w14:textId="77777777" w:rsidR="0051785F" w:rsidRDefault="0051785F"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iCs/>
                <w:sz w:val="24"/>
              </w:rPr>
              <w:t>CILO</w:t>
            </w:r>
            <w:r>
              <w:rPr>
                <w:rFonts w:ascii="Times New Roman Regular" w:hAnsi="Times New Roman Regular" w:cs="Times New Roman Regular"/>
                <w:iCs/>
                <w:sz w:val="24"/>
                <w:vertAlign w:val="subscript"/>
              </w:rPr>
              <w:t>1</w:t>
            </w:r>
            <w:r>
              <w:rPr>
                <w:rFonts w:ascii="Times New Roman Regular" w:hAnsi="Times New Roman Regular" w:cs="Times New Roman Regular" w:hint="eastAsia"/>
                <w:iCs/>
                <w:sz w:val="24"/>
                <w:vertAlign w:val="subscript"/>
              </w:rPr>
              <w:t>,</w:t>
            </w:r>
            <w:r>
              <w:rPr>
                <w:rFonts w:ascii="Times New Roman Regular" w:hAnsi="Times New Roman Regular" w:cs="Times New Roman Regular"/>
                <w:iCs/>
                <w:sz w:val="24"/>
                <w:vertAlign w:val="subscript"/>
              </w:rPr>
              <w:t>2,3</w:t>
            </w:r>
          </w:p>
        </w:tc>
      </w:tr>
      <w:tr w:rsidR="0051785F" w14:paraId="1E1B47BE" w14:textId="77777777" w:rsidTr="006909D8">
        <w:tc>
          <w:tcPr>
            <w:tcW w:w="0" w:type="auto"/>
          </w:tcPr>
          <w:p w14:paraId="6207335F" w14:textId="77777777" w:rsidR="0051785F" w:rsidRDefault="0051785F" w:rsidP="006909D8">
            <w:pPr>
              <w:pStyle w:val="Default"/>
              <w:ind w:rightChars="-46" w:right="-97"/>
              <w:rPr>
                <w:rFonts w:ascii="Times New Roman Regular" w:hAnsi="Times New Roman Regular" w:cs="Times New Roman Regular" w:hint="eastAsia"/>
                <w:b/>
                <w:bCs/>
                <w:color w:val="auto"/>
                <w:lang w:eastAsia="zh-CN" w:bidi="en-US"/>
              </w:rPr>
            </w:pPr>
            <w:r>
              <w:rPr>
                <w:rFonts w:ascii="Times New Roman Regular" w:hAnsi="Times New Roman Regular" w:cs="Times New Roman Regular"/>
                <w:b/>
                <w:bCs/>
                <w:color w:val="auto"/>
                <w:lang w:eastAsia="zh-CN" w:bidi="en-US"/>
              </w:rPr>
              <w:t xml:space="preserve">(b) Individual analysis of education policies </w:t>
            </w:r>
          </w:p>
          <w:p w14:paraId="494AB28E" w14:textId="77777777" w:rsidR="0051785F" w:rsidRDefault="0051785F" w:rsidP="006909D8">
            <w:pPr>
              <w:pStyle w:val="Default"/>
              <w:ind w:rightChars="-46" w:right="-97"/>
              <w:rPr>
                <w:rFonts w:ascii="Times New Roman Regular" w:hAnsi="Times New Roman Regular" w:cs="Times New Roman Regular" w:hint="eastAsia"/>
              </w:rPr>
            </w:pPr>
            <w:r>
              <w:rPr>
                <w:rFonts w:ascii="Times New Roman Regular" w:hAnsi="Times New Roman Regular" w:cs="Times New Roman Regular"/>
                <w:color w:val="auto"/>
                <w:lang w:eastAsia="zh-CN" w:bidi="en-US"/>
              </w:rPr>
              <w:t xml:space="preserve">Students will select an education policy and use one or more analytical methods introduced in class to </w:t>
            </w:r>
            <w:proofErr w:type="spellStart"/>
            <w:r>
              <w:rPr>
                <w:rFonts w:ascii="Times New Roman Regular" w:hAnsi="Times New Roman Regular" w:cs="Times New Roman Regular"/>
                <w:color w:val="auto"/>
                <w:lang w:eastAsia="zh-CN" w:bidi="en-US"/>
              </w:rPr>
              <w:t>analyse</w:t>
            </w:r>
            <w:proofErr w:type="spellEnd"/>
            <w:r>
              <w:rPr>
                <w:rFonts w:ascii="Times New Roman Regular" w:hAnsi="Times New Roman Regular" w:cs="Times New Roman Regular"/>
                <w:color w:val="auto"/>
                <w:lang w:eastAsia="zh-CN" w:bidi="en-US"/>
              </w:rPr>
              <w:t xml:space="preserve"> the policy within its governance context. The individual analysis should demonstrate their ability to apply theory, interpret data, and provide critical insights into the policy’s outcomes and potential areas for improvement. (2,100 words)</w:t>
            </w:r>
          </w:p>
        </w:tc>
        <w:tc>
          <w:tcPr>
            <w:tcW w:w="0" w:type="auto"/>
          </w:tcPr>
          <w:p w14:paraId="51B0D2C4" w14:textId="77777777" w:rsidR="0051785F" w:rsidRDefault="0051785F"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70%</w:t>
            </w:r>
          </w:p>
        </w:tc>
        <w:tc>
          <w:tcPr>
            <w:tcW w:w="1137" w:type="dxa"/>
          </w:tcPr>
          <w:p w14:paraId="07929999" w14:textId="77777777" w:rsidR="0051785F" w:rsidRDefault="0051785F"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iCs/>
                <w:sz w:val="24"/>
              </w:rPr>
              <w:t>CILO</w:t>
            </w:r>
            <w:r>
              <w:rPr>
                <w:rFonts w:ascii="Times New Roman Regular" w:hAnsi="Times New Roman Regular" w:cs="Times New Roman Regular"/>
                <w:iCs/>
                <w:sz w:val="24"/>
                <w:vertAlign w:val="subscript"/>
              </w:rPr>
              <w:t>1</w:t>
            </w:r>
            <w:r>
              <w:rPr>
                <w:rFonts w:ascii="Times New Roman Regular" w:hAnsi="Times New Roman Regular" w:cs="Times New Roman Regular" w:hint="eastAsia"/>
                <w:iCs/>
                <w:sz w:val="24"/>
                <w:vertAlign w:val="subscript"/>
              </w:rPr>
              <w:t>,</w:t>
            </w:r>
            <w:r>
              <w:rPr>
                <w:rFonts w:ascii="Times New Roman Regular" w:hAnsi="Times New Roman Regular" w:cs="Times New Roman Regular"/>
                <w:iCs/>
                <w:sz w:val="24"/>
                <w:vertAlign w:val="subscript"/>
              </w:rPr>
              <w:t>2,3</w:t>
            </w:r>
          </w:p>
        </w:tc>
      </w:tr>
    </w:tbl>
    <w:p w14:paraId="179C109A" w14:textId="77777777" w:rsidR="0051785F" w:rsidRDefault="0051785F" w:rsidP="0051785F">
      <w:pPr>
        <w:ind w:left="360"/>
        <w:rPr>
          <w:rFonts w:ascii="Times New Roman Regular" w:hAnsi="Times New Roman Regular" w:cs="Times New Roman Regular" w:hint="eastAsia"/>
          <w:b/>
          <w:sz w:val="24"/>
        </w:rPr>
      </w:pPr>
    </w:p>
    <w:p w14:paraId="5935AFD9" w14:textId="77777777" w:rsidR="0051785F" w:rsidRDefault="0051785F" w:rsidP="0051785F">
      <w:pPr>
        <w:ind w:left="360"/>
        <w:rPr>
          <w:rFonts w:ascii="Times New Roman Regular" w:hAnsi="Times New Roman Regular" w:cs="Times New Roman Regular" w:hint="eastAsia"/>
          <w:b/>
          <w:sz w:val="24"/>
        </w:rPr>
      </w:pPr>
    </w:p>
    <w:p w14:paraId="7BA7F1BE"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74F20506" w14:textId="77777777" w:rsidR="0051785F" w:rsidRDefault="0051785F" w:rsidP="0051785F">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03B7B2E4" w14:textId="77777777" w:rsidR="0051785F" w:rsidRDefault="0051785F" w:rsidP="0051785F">
      <w:pPr>
        <w:pStyle w:val="1"/>
        <w:ind w:left="409"/>
        <w:contextualSpacing w:val="0"/>
        <w:rPr>
          <w:rFonts w:ascii="Times New Roman Regular" w:hAnsi="Times New Roman Regular" w:cs="Times New Roman Regular" w:hint="eastAsia"/>
          <w:bCs/>
          <w:sz w:val="24"/>
          <w:lang w:eastAsia="zh-TW"/>
        </w:rPr>
      </w:pPr>
    </w:p>
    <w:p w14:paraId="3956841C" w14:textId="77777777" w:rsidR="0051785F" w:rsidRDefault="0051785F" w:rsidP="0051785F">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4716F140" w14:textId="77777777" w:rsidR="0051785F" w:rsidRDefault="0051785F" w:rsidP="0051785F">
      <w:pPr>
        <w:pStyle w:val="1"/>
        <w:ind w:left="0"/>
        <w:contextualSpacing w:val="0"/>
        <w:rPr>
          <w:rFonts w:ascii="Times New Roman Regular" w:hAnsi="Times New Roman Regular" w:cs="Times New Roman Regular" w:hint="eastAsia"/>
          <w:bCs/>
          <w:sz w:val="24"/>
        </w:rPr>
      </w:pPr>
    </w:p>
    <w:p w14:paraId="5631FE3D" w14:textId="77777777" w:rsidR="0051785F" w:rsidRDefault="0051785F" w:rsidP="0051785F">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56F349C5" w14:textId="77777777" w:rsidR="0051785F" w:rsidRDefault="0051785F" w:rsidP="0051785F">
      <w:pPr>
        <w:widowControl/>
        <w:ind w:left="360"/>
        <w:rPr>
          <w:rFonts w:ascii="Times New Roman Regular" w:hAnsi="Times New Roman Regular" w:cs="Times New Roman Regular" w:hint="eastAsia"/>
          <w:b/>
          <w:sz w:val="24"/>
        </w:rPr>
      </w:pPr>
    </w:p>
    <w:p w14:paraId="4E61DBB7" w14:textId="77777777" w:rsidR="0051785F" w:rsidRDefault="0051785F" w:rsidP="0051785F">
      <w:pPr>
        <w:widowControl/>
        <w:ind w:left="360"/>
        <w:rPr>
          <w:rFonts w:ascii="Times New Roman Regular" w:hAnsi="Times New Roman Regular" w:cs="Times New Roman Regular" w:hint="eastAsia"/>
          <w:b/>
          <w:sz w:val="24"/>
        </w:rPr>
      </w:pPr>
    </w:p>
    <w:p w14:paraId="1B36CA75" w14:textId="77777777" w:rsidR="0051785F" w:rsidRDefault="0051785F" w:rsidP="0051785F">
      <w:pPr>
        <w:widowControl/>
        <w:numPr>
          <w:ilvl w:val="0"/>
          <w:numId w:val="4"/>
        </w:numPr>
        <w:rPr>
          <w:rFonts w:ascii="Times New Roman Regular" w:hAnsi="Times New Roman Regular" w:cs="Times New Roman Regular" w:hint="eastAsia"/>
          <w:bCs/>
          <w:sz w:val="24"/>
          <w:lang w:eastAsia="zh-Hans"/>
        </w:rPr>
      </w:pPr>
      <w:r>
        <w:rPr>
          <w:rFonts w:ascii="Times New Roman Regular" w:hAnsi="Times New Roman Regular" w:cs="Times New Roman Regular"/>
          <w:b/>
          <w:sz w:val="24"/>
        </w:rPr>
        <w:t>Required Text(s)</w:t>
      </w:r>
    </w:p>
    <w:p w14:paraId="2001AF37" w14:textId="77777777" w:rsidR="0051785F" w:rsidRDefault="0051785F" w:rsidP="0051785F">
      <w:pPr>
        <w:widowControl/>
        <w:numPr>
          <w:ilvl w:val="255"/>
          <w:numId w:val="0"/>
        </w:numPr>
        <w:ind w:leftChars="171" w:left="839" w:hangingChars="200" w:hanging="480"/>
        <w:jc w:val="left"/>
        <w:rPr>
          <w:rFonts w:ascii="Times New Roman Regular" w:hAnsi="Times New Roman Regular" w:cs="Times New Roman Regular" w:hint="eastAsia"/>
          <w:bCs/>
          <w:sz w:val="24"/>
          <w:lang w:eastAsia="zh-Hans"/>
        </w:rPr>
      </w:pPr>
      <w:r>
        <w:rPr>
          <w:rFonts w:ascii="Times New Roman Regular" w:hAnsi="Times New Roman Regular" w:cs="Times New Roman Regular"/>
          <w:bCs/>
          <w:sz w:val="24"/>
          <w:lang w:eastAsia="zh-Hans"/>
        </w:rPr>
        <w:t>Ball, S. J. (1993). What is policy? Texts, trajectories and toolboxes. Discourse: Studies in the Cultural Politics of Education, 13(2), 10-17.</w:t>
      </w:r>
    </w:p>
    <w:p w14:paraId="7BAB9A1B" w14:textId="77777777" w:rsidR="0051785F" w:rsidRDefault="0051785F" w:rsidP="0051785F">
      <w:pPr>
        <w:widowControl/>
        <w:numPr>
          <w:ilvl w:val="255"/>
          <w:numId w:val="0"/>
        </w:numPr>
        <w:ind w:leftChars="171" w:left="839" w:hangingChars="200" w:hanging="480"/>
        <w:jc w:val="left"/>
        <w:rPr>
          <w:rFonts w:ascii="Times New Roman Regular" w:hAnsi="Times New Roman Regular" w:cs="Times New Roman Regular" w:hint="eastAsia"/>
          <w:bCs/>
          <w:sz w:val="24"/>
          <w:lang w:eastAsia="zh-Hans"/>
        </w:rPr>
      </w:pPr>
      <w:r>
        <w:rPr>
          <w:rFonts w:ascii="Times New Roman Regular" w:hAnsi="Times New Roman Regular" w:cs="Times New Roman Regular"/>
          <w:bCs/>
          <w:sz w:val="24"/>
          <w:lang w:eastAsia="zh-Hans"/>
        </w:rPr>
        <w:t>Ball, S. J. (2015). Education, governance and the tyranny of numbers. Journal of education policy, 30(3), 299-301.</w:t>
      </w:r>
    </w:p>
    <w:p w14:paraId="014408CE" w14:textId="77777777" w:rsidR="0051785F" w:rsidRDefault="0051785F" w:rsidP="0051785F">
      <w:pPr>
        <w:widowControl/>
        <w:numPr>
          <w:ilvl w:val="255"/>
          <w:numId w:val="0"/>
        </w:numPr>
        <w:rPr>
          <w:rFonts w:ascii="Times New Roman Regular" w:hAnsi="Times New Roman Regular" w:cs="Times New Roman Regular" w:hint="eastAsia"/>
          <w:b/>
          <w:sz w:val="24"/>
        </w:rPr>
      </w:pPr>
    </w:p>
    <w:p w14:paraId="2A127837" w14:textId="77777777" w:rsidR="0051785F" w:rsidRDefault="0051785F" w:rsidP="0051785F">
      <w:pPr>
        <w:ind w:left="360"/>
        <w:rPr>
          <w:rFonts w:ascii="Times New Roman Regular" w:hAnsi="Times New Roman Regular" w:cs="Times New Roman Regular" w:hint="eastAsia"/>
          <w:b/>
          <w:sz w:val="24"/>
        </w:rPr>
      </w:pPr>
    </w:p>
    <w:p w14:paraId="219AA45C"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p>
    <w:p w14:paraId="44A01C40"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Ball, S. J. (2016). Following policy: Networks, network ethnography and education policy mobilities. </w:t>
      </w:r>
      <w:r>
        <w:rPr>
          <w:rFonts w:ascii="Times New Roman Regular" w:hAnsi="Times New Roman Regular" w:cs="Times New Roman Regular"/>
          <w:i/>
          <w:iCs/>
          <w:sz w:val="24"/>
        </w:rPr>
        <w:t>Journal of Education Policy, 31</w:t>
      </w:r>
      <w:r>
        <w:rPr>
          <w:rFonts w:ascii="Times New Roman Regular" w:hAnsi="Times New Roman Regular" w:cs="Times New Roman Regular"/>
          <w:sz w:val="24"/>
        </w:rPr>
        <w:t>(5), 549-566.</w:t>
      </w:r>
    </w:p>
    <w:p w14:paraId="4D6895A2"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Ball, S. J. (2021). </w:t>
      </w:r>
      <w:r>
        <w:rPr>
          <w:rFonts w:ascii="Times New Roman Regular" w:hAnsi="Times New Roman Regular" w:cs="Times New Roman Regular"/>
          <w:i/>
          <w:iCs/>
          <w:sz w:val="24"/>
        </w:rPr>
        <w:t xml:space="preserve">The education </w:t>
      </w:r>
      <w:proofErr w:type="gramStart"/>
      <w:r>
        <w:rPr>
          <w:rFonts w:ascii="Times New Roman Regular" w:hAnsi="Times New Roman Regular" w:cs="Times New Roman Regular"/>
          <w:i/>
          <w:iCs/>
          <w:sz w:val="24"/>
        </w:rPr>
        <w:t>debate</w:t>
      </w:r>
      <w:proofErr w:type="gramEnd"/>
      <w:r>
        <w:rPr>
          <w:rFonts w:ascii="Times New Roman Regular" w:hAnsi="Times New Roman Regular" w:cs="Times New Roman Regular"/>
          <w:i/>
          <w:iCs/>
          <w:sz w:val="24"/>
        </w:rPr>
        <w:t xml:space="preserve">. </w:t>
      </w:r>
      <w:r>
        <w:rPr>
          <w:rFonts w:ascii="Times New Roman Regular" w:hAnsi="Times New Roman Regular" w:cs="Times New Roman Regular"/>
          <w:sz w:val="24"/>
        </w:rPr>
        <w:t>Policy press.</w:t>
      </w:r>
    </w:p>
    <w:p w14:paraId="404149DC"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Bowe, R., Ball, S. J., &amp; Gold, A. (2017). </w:t>
      </w:r>
      <w:r>
        <w:rPr>
          <w:rFonts w:ascii="Times New Roman Regular" w:hAnsi="Times New Roman Regular" w:cs="Times New Roman Regular"/>
          <w:i/>
          <w:iCs/>
          <w:sz w:val="24"/>
        </w:rPr>
        <w:t>Reforming education and changing schools: Case studies in policy sociology.</w:t>
      </w:r>
      <w:r>
        <w:rPr>
          <w:rFonts w:ascii="Times New Roman Regular" w:hAnsi="Times New Roman Regular" w:cs="Times New Roman Regular"/>
          <w:sz w:val="24"/>
        </w:rPr>
        <w:t xml:space="preserve"> Routledge.</w:t>
      </w:r>
    </w:p>
    <w:p w14:paraId="23BB46E1"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Fullan, M. (2016). The new meaning of educational change. </w:t>
      </w:r>
      <w:proofErr w:type="gramStart"/>
      <w:r>
        <w:rPr>
          <w:rFonts w:ascii="Times New Roman Regular" w:hAnsi="Times New Roman Regular" w:cs="Times New Roman Regular"/>
          <w:sz w:val="24"/>
        </w:rPr>
        <w:t>Teachers</w:t>
      </w:r>
      <w:proofErr w:type="gramEnd"/>
      <w:r>
        <w:rPr>
          <w:rFonts w:ascii="Times New Roman Regular" w:hAnsi="Times New Roman Regular" w:cs="Times New Roman Regular"/>
          <w:sz w:val="24"/>
        </w:rPr>
        <w:t xml:space="preserve"> college press.</w:t>
      </w:r>
    </w:p>
    <w:p w14:paraId="629AE3ED"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Mundy, K., Green, A., Lingard, B., &amp; Verger, A. (Eds.). (2016). </w:t>
      </w:r>
      <w:r>
        <w:rPr>
          <w:rFonts w:ascii="Times New Roman Regular" w:hAnsi="Times New Roman Regular" w:cs="Times New Roman Regular"/>
          <w:i/>
          <w:iCs/>
          <w:sz w:val="24"/>
        </w:rPr>
        <w:t>Handbook of global education policy</w:t>
      </w:r>
      <w:r>
        <w:rPr>
          <w:rFonts w:ascii="Times New Roman Regular" w:hAnsi="Times New Roman Regular" w:cs="Times New Roman Regular"/>
          <w:sz w:val="24"/>
        </w:rPr>
        <w:t>. John Wiley &amp; Sons.</w:t>
      </w:r>
    </w:p>
    <w:p w14:paraId="6B26F228"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Peters, B. G. (2021). </w:t>
      </w:r>
      <w:r>
        <w:rPr>
          <w:rFonts w:ascii="Times New Roman Regular" w:hAnsi="Times New Roman Regular" w:cs="Times New Roman Regular"/>
          <w:i/>
          <w:iCs/>
          <w:sz w:val="24"/>
        </w:rPr>
        <w:t>Advanced introduction to public policy.</w:t>
      </w:r>
      <w:r>
        <w:rPr>
          <w:rFonts w:ascii="Times New Roman Regular" w:hAnsi="Times New Roman Regular" w:cs="Times New Roman Regular"/>
          <w:sz w:val="24"/>
        </w:rPr>
        <w:t xml:space="preserve"> Edward Elgar Publishing.</w:t>
      </w:r>
    </w:p>
    <w:p w14:paraId="5024DA6C"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Stone, D. A. (2022).</w:t>
      </w:r>
      <w:r>
        <w:rPr>
          <w:rFonts w:ascii="Times New Roman Regular" w:hAnsi="Times New Roman Regular" w:cs="Times New Roman Regular"/>
          <w:i/>
          <w:iCs/>
          <w:sz w:val="24"/>
        </w:rPr>
        <w:t xml:space="preserve"> Policy paradox: The art of political decision making. </w:t>
      </w:r>
      <w:r>
        <w:rPr>
          <w:rFonts w:ascii="Times New Roman Regular" w:hAnsi="Times New Roman Regular" w:cs="Times New Roman Regular"/>
          <w:sz w:val="24"/>
        </w:rPr>
        <w:t>WW Norton &amp; company.</w:t>
      </w:r>
    </w:p>
    <w:p w14:paraId="30DC3EAC" w14:textId="77777777" w:rsidR="0051785F" w:rsidRDefault="0051785F" w:rsidP="0051785F">
      <w:pPr>
        <w:ind w:leftChars="157" w:left="810" w:hangingChars="200" w:hanging="480"/>
        <w:jc w:val="left"/>
        <w:rPr>
          <w:rFonts w:ascii="Times New Roman Regular" w:hAnsi="Times New Roman Regular" w:cs="Times New Roman Regular" w:hint="eastAsia"/>
          <w:sz w:val="24"/>
        </w:rPr>
      </w:pPr>
    </w:p>
    <w:p w14:paraId="0C5D135F" w14:textId="77777777" w:rsidR="0051785F" w:rsidRDefault="0051785F" w:rsidP="0051785F">
      <w:pPr>
        <w:rPr>
          <w:rFonts w:ascii="Times New Roman Regular" w:hAnsi="Times New Roman Regular" w:cs="Times New Roman Regular" w:hint="eastAsia"/>
          <w:b/>
          <w:sz w:val="24"/>
        </w:rPr>
      </w:pPr>
    </w:p>
    <w:p w14:paraId="69BCD08B"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w:t>
      </w:r>
    </w:p>
    <w:p w14:paraId="0B9944B5" w14:textId="77777777" w:rsidR="0051785F" w:rsidRDefault="0051785F" w:rsidP="0051785F">
      <w:pPr>
        <w:widowControl/>
        <w:ind w:left="360"/>
        <w:rPr>
          <w:rFonts w:ascii="Times New Roman Regular" w:hAnsi="Times New Roman Regular" w:cs="Times New Roman Regular" w:hint="eastAsia"/>
          <w:bCs/>
          <w:sz w:val="24"/>
        </w:rPr>
      </w:pPr>
      <w:hyperlink r:id="rId5" w:history="1">
        <w:r>
          <w:rPr>
            <w:rFonts w:ascii="Times New Roman Regular" w:hAnsi="Times New Roman Regular" w:cs="Times New Roman Regular"/>
            <w:bCs/>
            <w:sz w:val="24"/>
          </w:rPr>
          <w:t>https://www.oecd.org/</w:t>
        </w:r>
      </w:hyperlink>
    </w:p>
    <w:p w14:paraId="11ED8FED" w14:textId="77777777" w:rsidR="0051785F" w:rsidRDefault="0051785F" w:rsidP="0051785F">
      <w:pPr>
        <w:widowControl/>
        <w:ind w:left="360"/>
        <w:rPr>
          <w:rFonts w:ascii="Times New Roman Regular" w:hAnsi="Times New Roman Regular" w:cs="Times New Roman Regular" w:hint="eastAsia"/>
          <w:bCs/>
          <w:sz w:val="24"/>
        </w:rPr>
      </w:pPr>
      <w:hyperlink r:id="rId6" w:history="1">
        <w:r>
          <w:rPr>
            <w:rFonts w:ascii="Times New Roman Regular" w:hAnsi="Times New Roman Regular" w:cs="Times New Roman Regular"/>
            <w:bCs/>
            <w:sz w:val="24"/>
          </w:rPr>
          <w:t>https://en.unesco.org/</w:t>
        </w:r>
      </w:hyperlink>
    </w:p>
    <w:p w14:paraId="61B7251A" w14:textId="77777777" w:rsidR="0051785F" w:rsidRDefault="0051785F" w:rsidP="0051785F">
      <w:pPr>
        <w:widowControl/>
        <w:ind w:left="360"/>
        <w:rPr>
          <w:rFonts w:ascii="Times New Roman Regular" w:hAnsi="Times New Roman Regular" w:cs="Times New Roman Regular" w:hint="eastAsia"/>
          <w:bCs/>
          <w:sz w:val="24"/>
        </w:rPr>
      </w:pPr>
      <w:hyperlink r:id="rId7" w:history="1">
        <w:r>
          <w:rPr>
            <w:rFonts w:ascii="Times New Roman Regular" w:hAnsi="Times New Roman Regular" w:cs="Times New Roman Regular"/>
            <w:bCs/>
            <w:sz w:val="24"/>
          </w:rPr>
          <w:t>https://www.edb.gov.hk/en/</w:t>
        </w:r>
      </w:hyperlink>
    </w:p>
    <w:p w14:paraId="4A174484" w14:textId="77777777" w:rsidR="0051785F" w:rsidRDefault="0051785F" w:rsidP="0051785F">
      <w:pPr>
        <w:widowControl/>
        <w:ind w:left="360"/>
        <w:rPr>
          <w:rFonts w:ascii="Times New Roman Regular" w:hAnsi="Times New Roman Regular" w:cs="Times New Roman Regular" w:hint="eastAsia"/>
          <w:bCs/>
          <w:sz w:val="24"/>
        </w:rPr>
      </w:pPr>
      <w:hyperlink r:id="rId8" w:history="1">
        <w:r>
          <w:rPr>
            <w:rFonts w:ascii="Times New Roman Regular" w:hAnsi="Times New Roman Regular" w:cs="Times New Roman Regular"/>
            <w:bCs/>
            <w:sz w:val="24"/>
          </w:rPr>
          <w:t>https://epi.org.uk/</w:t>
        </w:r>
      </w:hyperlink>
    </w:p>
    <w:p w14:paraId="79AC4F45" w14:textId="77777777" w:rsidR="0051785F" w:rsidRDefault="0051785F" w:rsidP="0051785F">
      <w:pPr>
        <w:rPr>
          <w:rFonts w:ascii="Times New Roman Regular" w:hAnsi="Times New Roman Regular" w:cs="Times New Roman Regular" w:hint="eastAsia"/>
          <w:b/>
          <w:sz w:val="24"/>
        </w:rPr>
      </w:pPr>
    </w:p>
    <w:p w14:paraId="626A09AB"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1901CBDA" w14:textId="77777777" w:rsidR="0051785F" w:rsidRDefault="0051785F" w:rsidP="0051785F">
      <w:pPr>
        <w:widowControl/>
        <w:ind w:left="360"/>
        <w:rPr>
          <w:rFonts w:ascii="Times New Roman Regular" w:hAnsi="Times New Roman Regular" w:cs="Times New Roman Regular" w:hint="eastAsia"/>
          <w:bCs/>
          <w:i/>
          <w:iCs/>
          <w:sz w:val="24"/>
        </w:rPr>
      </w:pPr>
      <w:r>
        <w:rPr>
          <w:rFonts w:ascii="Times New Roman Regular" w:hAnsi="Times New Roman Regular" w:cs="Times New Roman Regular"/>
          <w:bCs/>
          <w:i/>
          <w:iCs/>
          <w:sz w:val="24"/>
        </w:rPr>
        <w:t xml:space="preserve">Educational Evaluation and Policy Analysis </w:t>
      </w:r>
    </w:p>
    <w:p w14:paraId="74F61ECB" w14:textId="77777777" w:rsidR="0051785F" w:rsidRDefault="0051785F" w:rsidP="0051785F">
      <w:pPr>
        <w:widowControl/>
        <w:ind w:left="360"/>
        <w:rPr>
          <w:rFonts w:ascii="Times New Roman Regular" w:hAnsi="Times New Roman Regular" w:cs="Times New Roman Regular" w:hint="eastAsia"/>
          <w:bCs/>
          <w:i/>
          <w:iCs/>
          <w:sz w:val="24"/>
        </w:rPr>
      </w:pPr>
      <w:r>
        <w:rPr>
          <w:rFonts w:ascii="Times New Roman Regular" w:hAnsi="Times New Roman Regular" w:cs="Times New Roman Regular"/>
          <w:bCs/>
          <w:i/>
          <w:iCs/>
          <w:sz w:val="24"/>
        </w:rPr>
        <w:t xml:space="preserve">Education Policy Analysis Archives </w:t>
      </w:r>
    </w:p>
    <w:p w14:paraId="21083F38" w14:textId="77777777" w:rsidR="0051785F" w:rsidRDefault="0051785F" w:rsidP="0051785F">
      <w:pPr>
        <w:widowControl/>
        <w:ind w:left="360"/>
        <w:rPr>
          <w:rFonts w:ascii="Times New Roman Regular" w:hAnsi="Times New Roman Regular" w:cs="Times New Roman Regular" w:hint="eastAsia"/>
          <w:bCs/>
          <w:i/>
          <w:iCs/>
          <w:sz w:val="24"/>
        </w:rPr>
      </w:pPr>
      <w:r>
        <w:rPr>
          <w:rFonts w:ascii="Times New Roman Regular" w:hAnsi="Times New Roman Regular" w:cs="Times New Roman Regular"/>
          <w:bCs/>
          <w:i/>
          <w:iCs/>
          <w:sz w:val="24"/>
        </w:rPr>
        <w:t xml:space="preserve">Journal of Education and Social Policy </w:t>
      </w:r>
    </w:p>
    <w:p w14:paraId="546E095B" w14:textId="77777777" w:rsidR="0051785F" w:rsidRDefault="0051785F" w:rsidP="0051785F">
      <w:pPr>
        <w:widowControl/>
        <w:ind w:left="360"/>
        <w:rPr>
          <w:rFonts w:ascii="Times New Roman Regular" w:hAnsi="Times New Roman Regular" w:cs="Times New Roman Regular" w:hint="eastAsia"/>
          <w:bCs/>
          <w:i/>
          <w:iCs/>
          <w:sz w:val="24"/>
        </w:rPr>
      </w:pPr>
      <w:r>
        <w:rPr>
          <w:rFonts w:ascii="Times New Roman Regular" w:hAnsi="Times New Roman Regular" w:cs="Times New Roman Regular"/>
          <w:bCs/>
          <w:i/>
          <w:iCs/>
          <w:sz w:val="24"/>
        </w:rPr>
        <w:t xml:space="preserve">Journal of Education Policy </w:t>
      </w:r>
    </w:p>
    <w:p w14:paraId="1C69C2E0" w14:textId="77777777" w:rsidR="0051785F" w:rsidRDefault="0051785F" w:rsidP="0051785F">
      <w:pPr>
        <w:widowControl/>
        <w:rPr>
          <w:rFonts w:ascii="Times New Roman Regular" w:hAnsi="Times New Roman Regular" w:cs="Times New Roman Regular" w:hint="eastAsia"/>
          <w:b/>
          <w:sz w:val="24"/>
        </w:rPr>
      </w:pPr>
    </w:p>
    <w:p w14:paraId="2065C48C" w14:textId="77777777" w:rsidR="0051785F" w:rsidRDefault="0051785F" w:rsidP="0051785F">
      <w:pPr>
        <w:widowControl/>
        <w:numPr>
          <w:ilvl w:val="0"/>
          <w:numId w:val="4"/>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7B31F909" w14:textId="77777777" w:rsidR="0051785F" w:rsidRDefault="0051785F" w:rsidP="0051785F">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9"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472BC7BA" w14:textId="77777777" w:rsidR="0051785F" w:rsidRDefault="0051785F" w:rsidP="0051785F">
      <w:pPr>
        <w:widowControl/>
        <w:rPr>
          <w:rFonts w:ascii="Times New Roman Regular" w:hAnsi="Times New Roman Regular" w:cs="Times New Roman Regular" w:hint="eastAsia"/>
          <w:b/>
          <w:sz w:val="24"/>
        </w:rPr>
      </w:pPr>
    </w:p>
    <w:p w14:paraId="759A1557" w14:textId="77777777" w:rsidR="0051785F" w:rsidRDefault="0051785F" w:rsidP="0051785F">
      <w:pPr>
        <w:widowControl/>
        <w:numPr>
          <w:ilvl w:val="0"/>
          <w:numId w:val="4"/>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t>Others</w:t>
      </w:r>
    </w:p>
    <w:p w14:paraId="4C58CBA6" w14:textId="3331A497" w:rsidR="00474D32" w:rsidRPr="0051785F" w:rsidRDefault="0051785F" w:rsidP="0051785F">
      <w:r>
        <w:rPr>
          <w:rFonts w:ascii="Times New Roman Regular" w:hAnsi="Times New Roman Regular" w:cs="Times New Roman Regular"/>
          <w:bCs/>
          <w:sz w:val="24"/>
        </w:rPr>
        <w:t>Nil</w:t>
      </w:r>
    </w:p>
    <w:sectPr w:rsidR="00474D32" w:rsidRPr="0051785F" w:rsidSect="004430DB">
      <w:pgSz w:w="11909" w:h="16834"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2"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3"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2C23DC"/>
    <w:rsid w:val="004430DB"/>
    <w:rsid w:val="00474D32"/>
    <w:rsid w:val="00517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org.uk/" TargetMode="External"/><Relationship Id="rId3" Type="http://schemas.openxmlformats.org/officeDocument/2006/relationships/settings" Target="settings.xml"/><Relationship Id="rId7" Type="http://schemas.openxmlformats.org/officeDocument/2006/relationships/hyperlink" Target="https://www.edb.gov.hk/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unesco.org/" TargetMode="External"/><Relationship Id="rId11" Type="http://schemas.openxmlformats.org/officeDocument/2006/relationships/theme" Target="theme/theme1.xml"/><Relationship Id="rId5" Type="http://schemas.openxmlformats.org/officeDocument/2006/relationships/hyperlink" Target="https://www.oecd.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hk.hk/re/uploads/docs/000000000016336798924548Bb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1141</Words>
  <Characters>6504</Characters>
  <Application>Microsoft Office Word</Application>
  <DocSecurity>0</DocSecurity>
  <Lines>54</Lines>
  <Paragraphs>15</Paragraphs>
  <ScaleCrop>false</ScaleCrop>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2026-04-08T06:02:00Z</dcterms:created>
  <dcterms:modified xsi:type="dcterms:W3CDTF">2026-04-08T06:02:00Z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